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16BB" w:rsidRPr="006B768D" w:rsidRDefault="00F96949">
      <w:pPr>
        <w:jc w:val="center"/>
        <w:rPr>
          <w:rFonts w:ascii="Arial" w:eastAsia="Arial" w:hAnsi="Arial" w:cs="Arial"/>
          <w:sz w:val="24"/>
          <w:szCs w:val="24"/>
          <w:u w:val="single"/>
        </w:rPr>
      </w:pPr>
      <w:r w:rsidRPr="006B768D">
        <w:rPr>
          <w:rFonts w:ascii="Arial" w:eastAsia="Arial" w:hAnsi="Arial" w:cs="Arial"/>
          <w:b/>
          <w:sz w:val="24"/>
          <w:szCs w:val="24"/>
          <w:u w:val="single"/>
        </w:rPr>
        <w:t>ANEXO 1</w:t>
      </w:r>
    </w:p>
    <w:p w:rsidR="007F73B1" w:rsidRPr="006B768D" w:rsidRDefault="007F73B1">
      <w:pPr>
        <w:jc w:val="center"/>
        <w:rPr>
          <w:rFonts w:ascii="Arial" w:eastAsia="Arial" w:hAnsi="Arial" w:cs="Arial"/>
          <w:b/>
          <w:sz w:val="24"/>
          <w:szCs w:val="24"/>
        </w:rPr>
      </w:pPr>
    </w:p>
    <w:p w:rsidR="005616BB" w:rsidRPr="006B768D" w:rsidRDefault="00F96949">
      <w:pPr>
        <w:jc w:val="center"/>
        <w:rPr>
          <w:rFonts w:ascii="Arial" w:eastAsia="Arial" w:hAnsi="Arial" w:cs="Arial"/>
          <w:sz w:val="24"/>
          <w:szCs w:val="24"/>
        </w:rPr>
      </w:pPr>
      <w:r w:rsidRPr="006B768D">
        <w:rPr>
          <w:rFonts w:ascii="Arial" w:eastAsia="Arial" w:hAnsi="Arial" w:cs="Arial"/>
          <w:b/>
          <w:sz w:val="24"/>
          <w:szCs w:val="24"/>
        </w:rPr>
        <w:t>ESPECIFICACIONES TÉCNICAS</w:t>
      </w:r>
    </w:p>
    <w:p w:rsidR="005616BB" w:rsidRDefault="005616BB">
      <w:pPr>
        <w:rPr>
          <w:rFonts w:ascii="Arial" w:eastAsia="Arial" w:hAnsi="Arial" w:cs="Arial"/>
        </w:rPr>
      </w:pPr>
    </w:p>
    <w:tbl>
      <w:tblPr>
        <w:tblStyle w:val="a"/>
        <w:tblW w:w="974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8"/>
        <w:gridCol w:w="1294"/>
        <w:gridCol w:w="5968"/>
        <w:gridCol w:w="1467"/>
      </w:tblGrid>
      <w:tr w:rsidR="005616BB">
        <w:tc>
          <w:tcPr>
            <w:tcW w:w="1018" w:type="dxa"/>
          </w:tcPr>
          <w:p w:rsidR="005616BB" w:rsidRDefault="00F96949">
            <w:pPr>
              <w:pBdr>
                <w:top w:val="nil"/>
                <w:left w:val="nil"/>
                <w:bottom w:val="nil"/>
                <w:right w:val="nil"/>
                <w:between w:val="nil"/>
              </w:pBdr>
              <w:jc w:val="center"/>
              <w:rPr>
                <w:rFonts w:ascii="Arial Narrow" w:eastAsia="Arial Narrow" w:hAnsi="Arial Narrow" w:cs="Arial Narrow"/>
                <w:color w:val="000000"/>
              </w:rPr>
            </w:pPr>
            <w:r>
              <w:rPr>
                <w:rFonts w:ascii="Arial Narrow" w:eastAsia="Arial Narrow" w:hAnsi="Arial Narrow" w:cs="Arial Narrow"/>
                <w:b/>
                <w:color w:val="000000"/>
              </w:rPr>
              <w:t>PARTIDA</w:t>
            </w:r>
          </w:p>
        </w:tc>
        <w:tc>
          <w:tcPr>
            <w:tcW w:w="1294" w:type="dxa"/>
          </w:tcPr>
          <w:p w:rsidR="005616BB" w:rsidRDefault="00F96949">
            <w:pPr>
              <w:pBdr>
                <w:top w:val="nil"/>
                <w:left w:val="nil"/>
                <w:bottom w:val="nil"/>
                <w:right w:val="nil"/>
                <w:between w:val="nil"/>
              </w:pBdr>
              <w:jc w:val="center"/>
              <w:rPr>
                <w:rFonts w:ascii="Arial Narrow" w:eastAsia="Arial Narrow" w:hAnsi="Arial Narrow" w:cs="Arial Narrow"/>
                <w:color w:val="000000"/>
              </w:rPr>
            </w:pPr>
            <w:r>
              <w:rPr>
                <w:rFonts w:ascii="Arial Narrow" w:eastAsia="Arial Narrow" w:hAnsi="Arial Narrow" w:cs="Arial Narrow"/>
                <w:b/>
                <w:color w:val="000000"/>
              </w:rPr>
              <w:t>NÚMERO DE UNIDADES</w:t>
            </w:r>
          </w:p>
        </w:tc>
        <w:tc>
          <w:tcPr>
            <w:tcW w:w="5968" w:type="dxa"/>
          </w:tcPr>
          <w:p w:rsidR="005616BB" w:rsidRDefault="00F96949">
            <w:pPr>
              <w:pBdr>
                <w:top w:val="nil"/>
                <w:left w:val="nil"/>
                <w:bottom w:val="nil"/>
                <w:right w:val="nil"/>
                <w:between w:val="nil"/>
              </w:pBdr>
              <w:jc w:val="center"/>
              <w:rPr>
                <w:rFonts w:ascii="Arial Narrow" w:eastAsia="Arial Narrow" w:hAnsi="Arial Narrow" w:cs="Arial Narrow"/>
                <w:color w:val="000000"/>
              </w:rPr>
            </w:pPr>
            <w:r>
              <w:rPr>
                <w:rFonts w:ascii="Arial Narrow" w:eastAsia="Arial Narrow" w:hAnsi="Arial Narrow" w:cs="Arial Narrow"/>
                <w:b/>
                <w:color w:val="000000"/>
              </w:rPr>
              <w:t>ESPECIFICACIONES</w:t>
            </w:r>
          </w:p>
        </w:tc>
        <w:tc>
          <w:tcPr>
            <w:tcW w:w="1467" w:type="dxa"/>
          </w:tcPr>
          <w:p w:rsidR="005616BB" w:rsidRDefault="00F96949">
            <w:pPr>
              <w:pBdr>
                <w:top w:val="nil"/>
                <w:left w:val="nil"/>
                <w:bottom w:val="nil"/>
                <w:right w:val="nil"/>
                <w:between w:val="nil"/>
              </w:pBdr>
              <w:jc w:val="center"/>
              <w:rPr>
                <w:rFonts w:ascii="Arial Narrow" w:eastAsia="Arial Narrow" w:hAnsi="Arial Narrow" w:cs="Arial Narrow"/>
                <w:color w:val="000000"/>
              </w:rPr>
            </w:pPr>
            <w:r>
              <w:rPr>
                <w:rFonts w:ascii="Arial Narrow" w:eastAsia="Arial Narrow" w:hAnsi="Arial Narrow" w:cs="Arial Narrow"/>
                <w:b/>
                <w:color w:val="000000"/>
              </w:rPr>
              <w:t>MODELO</w:t>
            </w:r>
          </w:p>
        </w:tc>
      </w:tr>
      <w:tr w:rsidR="005616BB">
        <w:tc>
          <w:tcPr>
            <w:tcW w:w="1018" w:type="dxa"/>
          </w:tcPr>
          <w:p w:rsidR="005616BB" w:rsidRDefault="005616BB">
            <w:pPr>
              <w:pBdr>
                <w:top w:val="nil"/>
                <w:left w:val="nil"/>
                <w:bottom w:val="nil"/>
                <w:right w:val="nil"/>
                <w:between w:val="nil"/>
              </w:pBdr>
              <w:jc w:val="center"/>
              <w:rPr>
                <w:rFonts w:ascii="Arial" w:eastAsia="Arial" w:hAnsi="Arial" w:cs="Arial"/>
                <w:color w:val="000000"/>
              </w:rPr>
            </w:pPr>
          </w:p>
          <w:p w:rsidR="005616BB" w:rsidRDefault="00F96949">
            <w:pPr>
              <w:pBdr>
                <w:top w:val="nil"/>
                <w:left w:val="nil"/>
                <w:bottom w:val="nil"/>
                <w:right w:val="nil"/>
                <w:between w:val="nil"/>
              </w:pBdr>
              <w:jc w:val="center"/>
              <w:rPr>
                <w:rFonts w:ascii="Arial" w:eastAsia="Arial" w:hAnsi="Arial" w:cs="Arial"/>
                <w:color w:val="000000"/>
              </w:rPr>
            </w:pPr>
            <w:r>
              <w:rPr>
                <w:rFonts w:ascii="Arial" w:eastAsia="Arial" w:hAnsi="Arial" w:cs="Arial"/>
                <w:b/>
                <w:color w:val="000000"/>
              </w:rPr>
              <w:t>1</w:t>
            </w:r>
          </w:p>
        </w:tc>
        <w:tc>
          <w:tcPr>
            <w:tcW w:w="1294" w:type="dxa"/>
          </w:tcPr>
          <w:p w:rsidR="005616BB" w:rsidRDefault="005616BB">
            <w:pPr>
              <w:pBdr>
                <w:top w:val="nil"/>
                <w:left w:val="nil"/>
                <w:bottom w:val="nil"/>
                <w:right w:val="nil"/>
                <w:between w:val="nil"/>
              </w:pBdr>
              <w:jc w:val="center"/>
              <w:rPr>
                <w:rFonts w:ascii="Arial" w:eastAsia="Arial" w:hAnsi="Arial" w:cs="Arial"/>
                <w:color w:val="000000"/>
              </w:rPr>
            </w:pPr>
          </w:p>
          <w:p w:rsidR="005616BB" w:rsidRDefault="00F96949">
            <w:pPr>
              <w:pBdr>
                <w:top w:val="nil"/>
                <w:left w:val="nil"/>
                <w:bottom w:val="nil"/>
                <w:right w:val="nil"/>
                <w:between w:val="nil"/>
              </w:pBdr>
              <w:jc w:val="center"/>
              <w:rPr>
                <w:rFonts w:ascii="Arial" w:eastAsia="Arial" w:hAnsi="Arial" w:cs="Arial"/>
                <w:color w:val="000000"/>
              </w:rPr>
            </w:pPr>
            <w:r>
              <w:rPr>
                <w:rFonts w:ascii="Arial" w:eastAsia="Arial" w:hAnsi="Arial" w:cs="Arial"/>
                <w:b/>
                <w:color w:val="000000"/>
              </w:rPr>
              <w:t>40</w:t>
            </w:r>
          </w:p>
        </w:tc>
        <w:tc>
          <w:tcPr>
            <w:tcW w:w="5968" w:type="dxa"/>
          </w:tcPr>
          <w:p w:rsidR="005616BB" w:rsidRDefault="00F96949">
            <w:pPr>
              <w:pBdr>
                <w:top w:val="nil"/>
                <w:left w:val="nil"/>
                <w:bottom w:val="nil"/>
                <w:right w:val="nil"/>
                <w:between w:val="nil"/>
              </w:pBdr>
              <w:jc w:val="both"/>
              <w:rPr>
                <w:rFonts w:ascii="Arial" w:eastAsia="Arial" w:hAnsi="Arial" w:cs="Arial"/>
                <w:color w:val="000000"/>
              </w:rPr>
            </w:pPr>
            <w:r>
              <w:rPr>
                <w:rFonts w:ascii="Arial" w:eastAsia="Arial" w:hAnsi="Arial" w:cs="Arial"/>
                <w:b/>
                <w:color w:val="000000"/>
              </w:rPr>
              <w:t>Camión recolector compactador</w:t>
            </w:r>
            <w:r>
              <w:rPr>
                <w:rFonts w:ascii="Arial" w:eastAsia="Arial" w:hAnsi="Arial" w:cs="Arial"/>
                <w:color w:val="000000"/>
              </w:rPr>
              <w:t>. - que deberán ser en color blanco con capacidad volumétrica de 21 yds</w:t>
            </w:r>
            <w:r>
              <w:rPr>
                <w:rFonts w:ascii="Arial" w:eastAsia="Arial" w:hAnsi="Arial" w:cs="Arial"/>
                <w:color w:val="000000"/>
                <w:vertAlign w:val="superscript"/>
              </w:rPr>
              <w:t>3</w:t>
            </w:r>
            <w:r>
              <w:rPr>
                <w:rFonts w:ascii="Arial" w:eastAsia="Arial" w:hAnsi="Arial" w:cs="Arial"/>
                <w:color w:val="000000"/>
              </w:rPr>
              <w:t xml:space="preserve"> (16.00 m</w:t>
            </w:r>
            <w:r>
              <w:rPr>
                <w:rFonts w:ascii="Arial" w:eastAsia="Arial" w:hAnsi="Arial" w:cs="Arial"/>
                <w:color w:val="000000"/>
                <w:vertAlign w:val="superscript"/>
              </w:rPr>
              <w:t>3</w:t>
            </w:r>
            <w:r>
              <w:rPr>
                <w:rFonts w:ascii="Arial" w:eastAsia="Arial" w:hAnsi="Arial" w:cs="Arial"/>
                <w:color w:val="000000"/>
              </w:rPr>
              <w:t>).</w:t>
            </w:r>
          </w:p>
          <w:p w:rsidR="005616BB" w:rsidRDefault="00F96949">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 </w:t>
            </w:r>
          </w:p>
          <w:p w:rsidR="005616BB" w:rsidRDefault="00F96949">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Motor frente a la cabina potencia máxima 210 HP@ 2,300 RPM a Diesel, EPA 2004, con camisas húmedas.</w:t>
            </w:r>
          </w:p>
          <w:p w:rsidR="005616BB" w:rsidRDefault="00F96949">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Torque Máximo 520 LB FT @ 1,400 RPM</w:t>
            </w:r>
          </w:p>
          <w:p w:rsidR="005616BB" w:rsidRDefault="00F96949">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Transmisión </w:t>
            </w:r>
            <w:r w:rsidR="009D2F94">
              <w:rPr>
                <w:rFonts w:ascii="Arial" w:eastAsia="Arial" w:hAnsi="Arial" w:cs="Arial"/>
                <w:color w:val="000000"/>
              </w:rPr>
              <w:t>automática</w:t>
            </w:r>
            <w:bookmarkStart w:id="0" w:name="_GoBack"/>
            <w:bookmarkEnd w:id="0"/>
            <w:r>
              <w:rPr>
                <w:rFonts w:ascii="Arial" w:eastAsia="Arial" w:hAnsi="Arial" w:cs="Arial"/>
                <w:color w:val="000000"/>
              </w:rPr>
              <w:t xml:space="preserve"> 6 velocidades directas</w:t>
            </w:r>
          </w:p>
          <w:p w:rsidR="005616BB" w:rsidRDefault="00F96949">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Eje delantero 12,000 </w:t>
            </w:r>
            <w:proofErr w:type="spellStart"/>
            <w:r>
              <w:rPr>
                <w:rFonts w:ascii="Arial" w:eastAsia="Arial" w:hAnsi="Arial" w:cs="Arial"/>
                <w:color w:val="000000"/>
              </w:rPr>
              <w:t>lbs</w:t>
            </w:r>
            <w:proofErr w:type="spellEnd"/>
          </w:p>
          <w:p w:rsidR="005616BB" w:rsidRDefault="00F96949">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Suspensión delantera, amortiguadores capacidad 12,000 </w:t>
            </w:r>
            <w:proofErr w:type="spellStart"/>
            <w:r>
              <w:rPr>
                <w:rFonts w:ascii="Arial" w:eastAsia="Arial" w:hAnsi="Arial" w:cs="Arial"/>
                <w:color w:val="000000"/>
              </w:rPr>
              <w:t>lbs</w:t>
            </w:r>
            <w:proofErr w:type="spellEnd"/>
            <w:r>
              <w:rPr>
                <w:rFonts w:ascii="Arial" w:eastAsia="Arial" w:hAnsi="Arial" w:cs="Arial"/>
                <w:color w:val="000000"/>
              </w:rPr>
              <w:t xml:space="preserve">. </w:t>
            </w:r>
          </w:p>
          <w:p w:rsidR="005616BB" w:rsidRDefault="00F96949">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Eje trasero dos velocidades, 23,000 </w:t>
            </w:r>
            <w:proofErr w:type="spellStart"/>
            <w:r>
              <w:rPr>
                <w:rFonts w:ascii="Arial" w:eastAsia="Arial" w:hAnsi="Arial" w:cs="Arial"/>
                <w:color w:val="000000"/>
              </w:rPr>
              <w:t>lbs</w:t>
            </w:r>
            <w:proofErr w:type="spellEnd"/>
            <w:r>
              <w:rPr>
                <w:rFonts w:ascii="Arial" w:eastAsia="Arial" w:hAnsi="Arial" w:cs="Arial"/>
                <w:color w:val="000000"/>
              </w:rPr>
              <w:t>.</w:t>
            </w:r>
          </w:p>
          <w:p w:rsidR="005616BB" w:rsidRDefault="00F96949">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Suspensión trasera capacidad 23,500 </w:t>
            </w:r>
            <w:proofErr w:type="spellStart"/>
            <w:r>
              <w:rPr>
                <w:rFonts w:ascii="Arial" w:eastAsia="Arial" w:hAnsi="Arial" w:cs="Arial"/>
                <w:color w:val="000000"/>
              </w:rPr>
              <w:t>lbs</w:t>
            </w:r>
            <w:proofErr w:type="spellEnd"/>
            <w:r>
              <w:rPr>
                <w:rFonts w:ascii="Arial" w:eastAsia="Arial" w:hAnsi="Arial" w:cs="Arial"/>
                <w:color w:val="000000"/>
              </w:rPr>
              <w:t>.</w:t>
            </w:r>
          </w:p>
          <w:p w:rsidR="005616BB" w:rsidRDefault="00F96949">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Suspensión auxiliar de hule, cap. suspensión auxiliar 4,500 </w:t>
            </w:r>
            <w:proofErr w:type="spellStart"/>
            <w:r>
              <w:rPr>
                <w:rFonts w:ascii="Arial" w:eastAsia="Arial" w:hAnsi="Arial" w:cs="Arial"/>
                <w:color w:val="000000"/>
              </w:rPr>
              <w:t>lbs</w:t>
            </w:r>
            <w:proofErr w:type="spellEnd"/>
            <w:r>
              <w:rPr>
                <w:rFonts w:ascii="Arial" w:eastAsia="Arial" w:hAnsi="Arial" w:cs="Arial"/>
                <w:color w:val="000000"/>
              </w:rPr>
              <w:t>.</w:t>
            </w:r>
          </w:p>
          <w:p w:rsidR="005616BB" w:rsidRDefault="00F96949">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Amortiguadores hidráulicos</w:t>
            </w:r>
          </w:p>
          <w:p w:rsidR="005616BB" w:rsidRDefault="00F96949">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Sistema de escape horizontal debajo de la cabina</w:t>
            </w:r>
          </w:p>
          <w:p w:rsidR="005616BB" w:rsidRDefault="00F96949">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Sistema de frenado auxiliar estándar</w:t>
            </w:r>
          </w:p>
          <w:p w:rsidR="005616BB" w:rsidRDefault="00F96949">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Sistema eléctrico 12V, Baterías 12V</w:t>
            </w:r>
          </w:p>
          <w:p w:rsidR="005616BB" w:rsidRDefault="00F96949">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Sistema de Combustible, tanque de aluminio capacidad de 378 </w:t>
            </w:r>
            <w:proofErr w:type="spellStart"/>
            <w:r>
              <w:rPr>
                <w:rFonts w:ascii="Arial" w:eastAsia="Arial" w:hAnsi="Arial" w:cs="Arial"/>
                <w:color w:val="000000"/>
              </w:rPr>
              <w:t>lts</w:t>
            </w:r>
            <w:proofErr w:type="spellEnd"/>
          </w:p>
          <w:p w:rsidR="005616BB" w:rsidRDefault="00F96949">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Escape silenciador</w:t>
            </w:r>
          </w:p>
          <w:p w:rsidR="005616BB" w:rsidRDefault="00F96949">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6 rines de acero delanteros y traseros, 1 rin refacción de placa de acero.</w:t>
            </w:r>
          </w:p>
          <w:p w:rsidR="005616BB" w:rsidRDefault="00F96949">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6 llantas delanteras y traseras direccionales, y una de refacción, medida 11R22.5, rango de carga H/14,</w:t>
            </w:r>
          </w:p>
          <w:p w:rsidR="005616BB" w:rsidRDefault="00F96949">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Equipo de Seguridad</w:t>
            </w:r>
          </w:p>
          <w:p w:rsidR="005616BB" w:rsidRDefault="005616BB">
            <w:pPr>
              <w:pBdr>
                <w:top w:val="nil"/>
                <w:left w:val="nil"/>
                <w:bottom w:val="nil"/>
                <w:right w:val="nil"/>
                <w:between w:val="nil"/>
              </w:pBdr>
              <w:jc w:val="both"/>
              <w:rPr>
                <w:rFonts w:ascii="Arial" w:eastAsia="Arial" w:hAnsi="Arial" w:cs="Arial"/>
                <w:color w:val="000000"/>
              </w:rPr>
            </w:pPr>
          </w:p>
          <w:p w:rsidR="005616BB" w:rsidRDefault="00F96949">
            <w:pPr>
              <w:pBdr>
                <w:top w:val="nil"/>
                <w:left w:val="nil"/>
                <w:bottom w:val="nil"/>
                <w:right w:val="nil"/>
                <w:between w:val="nil"/>
              </w:pBdr>
              <w:jc w:val="both"/>
              <w:rPr>
                <w:rFonts w:ascii="Arial" w:eastAsia="Arial" w:hAnsi="Arial" w:cs="Arial"/>
                <w:color w:val="000000"/>
              </w:rPr>
            </w:pPr>
            <w:r>
              <w:rPr>
                <w:rFonts w:ascii="Arial" w:eastAsia="Arial" w:hAnsi="Arial" w:cs="Arial"/>
                <w:b/>
                <w:color w:val="000000"/>
              </w:rPr>
              <w:t>Especificación de caja</w:t>
            </w:r>
            <w:r>
              <w:rPr>
                <w:rFonts w:ascii="Arial" w:eastAsia="Arial" w:hAnsi="Arial" w:cs="Arial"/>
                <w:color w:val="000000"/>
              </w:rPr>
              <w:t>. Compactador de basura, carga trasera con capacidad 21 yds</w:t>
            </w:r>
            <w:r>
              <w:rPr>
                <w:rFonts w:ascii="Arial" w:eastAsia="Arial" w:hAnsi="Arial" w:cs="Arial"/>
                <w:color w:val="000000"/>
                <w:vertAlign w:val="superscript"/>
              </w:rPr>
              <w:t>3</w:t>
            </w:r>
            <w:r>
              <w:rPr>
                <w:rFonts w:ascii="Arial" w:eastAsia="Arial" w:hAnsi="Arial" w:cs="Arial"/>
                <w:color w:val="000000"/>
              </w:rPr>
              <w:t>(16.00 m3)</w:t>
            </w:r>
          </w:p>
          <w:p w:rsidR="005616BB" w:rsidRDefault="00F96949">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Capacidad mínima de carga 8 toneladas.</w:t>
            </w:r>
          </w:p>
          <w:p w:rsidR="005616BB" w:rsidRDefault="00F96949">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Prensa expulsora en lámina troquelada calibre 10 con resistencia de 80,000 libras.</w:t>
            </w:r>
          </w:p>
          <w:p w:rsidR="005616BB" w:rsidRDefault="00F96949">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Toldo en lamina troquelado calibre 10 con resistencia de 80,000 libras</w:t>
            </w:r>
          </w:p>
          <w:p w:rsidR="005616BB" w:rsidRDefault="00F96949">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Tolva con sistema de barrido y compactación de 1.91m3 con refuerzos intercambiables en las paredes en placa 3/16”, colocados en los laterales interiores.</w:t>
            </w:r>
          </w:p>
          <w:p w:rsidR="005616BB" w:rsidRDefault="00F96949">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Seguros traseros de tipo manual.</w:t>
            </w:r>
          </w:p>
          <w:p w:rsidR="005616BB" w:rsidRDefault="00F96949">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Ciclo de compactación de 20 segundos.</w:t>
            </w:r>
          </w:p>
          <w:p w:rsidR="005616BB" w:rsidRDefault="00F96949">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Sistema Hidráulico todos los pistones de la Tolva deberán ser nitrurados, los pistones para compactación deberán ser exteriores con un diámetro mínimo de 5”</w:t>
            </w:r>
          </w:p>
          <w:p w:rsidR="005616BB" w:rsidRDefault="00F96949">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Calibración 2400PSI</w:t>
            </w:r>
          </w:p>
          <w:p w:rsidR="005616BB" w:rsidRDefault="00F96949">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Toma de fuerza neumática.</w:t>
            </w:r>
          </w:p>
          <w:p w:rsidR="005616BB" w:rsidRDefault="00F96949">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Tanque para aceite capacidad de 200 litros</w:t>
            </w:r>
          </w:p>
          <w:p w:rsidR="005616BB" w:rsidRDefault="00F96949">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lastRenderedPageBreak/>
              <w:t>Filtro para aceite de 50 GPM de 10 Micrones</w:t>
            </w:r>
          </w:p>
          <w:p w:rsidR="005616BB" w:rsidRDefault="00F96949">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Depósito de líquidos lixiviados con capacidad mínima de 200 litros, dividido uno debajo de caja y otro debajo de la tolva.</w:t>
            </w:r>
          </w:p>
          <w:p w:rsidR="005616BB" w:rsidRDefault="00F96949">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Sello entre cajón y tolva trasera para evitar fugas de líquidos lixiviados al 100%</w:t>
            </w:r>
          </w:p>
          <w:p w:rsidR="005616BB" w:rsidRDefault="00F96949">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Aceite hidráulico ISO 68</w:t>
            </w:r>
          </w:p>
          <w:p w:rsidR="005616BB" w:rsidRDefault="00F96949">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Sistema eléctrico el reglamentario por la Secretaría de Comunicaciones y transportes en luces de LED </w:t>
            </w:r>
          </w:p>
          <w:p w:rsidR="005616BB" w:rsidRDefault="00F96949">
            <w:pPr>
              <w:pBdr>
                <w:top w:val="nil"/>
                <w:left w:val="nil"/>
                <w:bottom w:val="nil"/>
                <w:right w:val="nil"/>
                <w:between w:val="nil"/>
              </w:pBdr>
              <w:jc w:val="both"/>
              <w:rPr>
                <w:rFonts w:ascii="Arial" w:eastAsia="Arial" w:hAnsi="Arial" w:cs="Arial"/>
                <w:color w:val="000000"/>
              </w:rPr>
            </w:pPr>
            <w:r w:rsidRPr="007F73B1">
              <w:rPr>
                <w:rFonts w:ascii="Arial" w:eastAsia="Arial" w:hAnsi="Arial" w:cs="Arial"/>
                <w:color w:val="000000"/>
              </w:rPr>
              <w:t>Pintura en color blanco.</w:t>
            </w:r>
          </w:p>
          <w:p w:rsidR="007F73B1" w:rsidRPr="007F73B1" w:rsidRDefault="007F73B1">
            <w:pPr>
              <w:pBdr>
                <w:top w:val="nil"/>
                <w:left w:val="nil"/>
                <w:bottom w:val="nil"/>
                <w:right w:val="nil"/>
                <w:between w:val="nil"/>
              </w:pBdr>
              <w:jc w:val="both"/>
              <w:rPr>
                <w:rFonts w:ascii="Arial" w:eastAsia="Arial" w:hAnsi="Arial" w:cs="Arial"/>
                <w:color w:val="000000"/>
              </w:rPr>
            </w:pPr>
          </w:p>
          <w:p w:rsidR="005616BB" w:rsidRPr="007F73B1" w:rsidRDefault="00F96949">
            <w:pPr>
              <w:pBdr>
                <w:top w:val="nil"/>
                <w:left w:val="nil"/>
                <w:bottom w:val="nil"/>
                <w:right w:val="nil"/>
                <w:between w:val="nil"/>
              </w:pBdr>
              <w:jc w:val="both"/>
              <w:rPr>
                <w:rFonts w:ascii="Arial" w:eastAsia="Arial" w:hAnsi="Arial" w:cs="Arial"/>
                <w:color w:val="000000"/>
              </w:rPr>
            </w:pPr>
            <w:r w:rsidRPr="007F73B1">
              <w:rPr>
                <w:rFonts w:ascii="Arial" w:eastAsia="Arial" w:hAnsi="Arial" w:cs="Arial"/>
                <w:b/>
                <w:color w:val="000000"/>
              </w:rPr>
              <w:t xml:space="preserve">Barra de luces </w:t>
            </w:r>
            <w:r w:rsidRPr="007F73B1">
              <w:rPr>
                <w:rFonts w:ascii="Arial" w:eastAsia="Arial" w:hAnsi="Arial" w:cs="Arial"/>
                <w:color w:val="000000"/>
              </w:rPr>
              <w:t>Diseño bajo perfil, iluminación de 26 leds 360°, 19 patrones de destello, voltaje de alimentación 12 VCD, consumo 4A, color del led ámbar, domo en color ámbar, montaje permanente, debe de cumplir con la norma SAE J845 Clase 1</w:t>
            </w:r>
          </w:p>
          <w:p w:rsidR="005616BB" w:rsidRDefault="005616BB" w:rsidP="00C02AF4">
            <w:pPr>
              <w:pBdr>
                <w:top w:val="nil"/>
                <w:left w:val="nil"/>
                <w:bottom w:val="nil"/>
                <w:right w:val="nil"/>
                <w:between w:val="nil"/>
              </w:pBdr>
              <w:jc w:val="both"/>
              <w:rPr>
                <w:rFonts w:ascii="Arial" w:eastAsia="Arial" w:hAnsi="Arial" w:cs="Arial"/>
                <w:color w:val="000000"/>
              </w:rPr>
            </w:pPr>
          </w:p>
        </w:tc>
        <w:tc>
          <w:tcPr>
            <w:tcW w:w="1467" w:type="dxa"/>
            <w:vAlign w:val="center"/>
          </w:tcPr>
          <w:p w:rsidR="005616BB" w:rsidRDefault="005616BB">
            <w:pPr>
              <w:pBdr>
                <w:top w:val="nil"/>
                <w:left w:val="nil"/>
                <w:bottom w:val="nil"/>
                <w:right w:val="nil"/>
                <w:between w:val="nil"/>
              </w:pBdr>
              <w:jc w:val="center"/>
              <w:rPr>
                <w:rFonts w:ascii="Arial" w:eastAsia="Arial" w:hAnsi="Arial" w:cs="Arial"/>
                <w:color w:val="000000"/>
              </w:rPr>
            </w:pPr>
          </w:p>
          <w:p w:rsidR="005616BB" w:rsidRDefault="00F96949">
            <w:pPr>
              <w:pBdr>
                <w:top w:val="nil"/>
                <w:left w:val="nil"/>
                <w:bottom w:val="nil"/>
                <w:right w:val="nil"/>
                <w:between w:val="nil"/>
              </w:pBdr>
              <w:jc w:val="center"/>
              <w:rPr>
                <w:rFonts w:ascii="Arial" w:eastAsia="Arial" w:hAnsi="Arial" w:cs="Arial"/>
                <w:color w:val="000000"/>
              </w:rPr>
            </w:pPr>
            <w:r>
              <w:rPr>
                <w:rFonts w:ascii="Arial" w:eastAsia="Arial" w:hAnsi="Arial" w:cs="Arial"/>
                <w:b/>
                <w:color w:val="000000"/>
              </w:rPr>
              <w:t>2018-2020</w:t>
            </w:r>
          </w:p>
        </w:tc>
      </w:tr>
    </w:tbl>
    <w:p w:rsidR="007F73B1" w:rsidRDefault="007F73B1">
      <w:pPr>
        <w:jc w:val="both"/>
        <w:rPr>
          <w:rFonts w:ascii="Arial" w:eastAsia="Arial" w:hAnsi="Arial" w:cs="Arial"/>
        </w:rPr>
      </w:pPr>
    </w:p>
    <w:p w:rsidR="005616BB" w:rsidRDefault="00F96949">
      <w:pPr>
        <w:jc w:val="both"/>
        <w:rPr>
          <w:rFonts w:ascii="Arial" w:eastAsia="Arial" w:hAnsi="Arial" w:cs="Arial"/>
        </w:rPr>
      </w:pPr>
      <w:r>
        <w:rPr>
          <w:rFonts w:ascii="Arial" w:eastAsia="Arial" w:hAnsi="Arial" w:cs="Arial"/>
          <w:b/>
        </w:rPr>
        <w:t>ALCANCE:</w:t>
      </w:r>
    </w:p>
    <w:p w:rsidR="005616BB" w:rsidRDefault="00F96949">
      <w:pPr>
        <w:jc w:val="both"/>
        <w:rPr>
          <w:rFonts w:ascii="Arial" w:eastAsia="Arial" w:hAnsi="Arial" w:cs="Arial"/>
        </w:rPr>
      </w:pPr>
      <w:r>
        <w:rPr>
          <w:rFonts w:ascii="Arial" w:eastAsia="Arial" w:hAnsi="Arial" w:cs="Arial"/>
        </w:rPr>
        <w:t xml:space="preserve">El servicio de arrendamiento debe incluir: </w:t>
      </w:r>
    </w:p>
    <w:p w:rsidR="005616BB" w:rsidRDefault="005616BB">
      <w:pPr>
        <w:jc w:val="both"/>
        <w:rPr>
          <w:rFonts w:ascii="Arial" w:eastAsia="Arial" w:hAnsi="Arial" w:cs="Arial"/>
        </w:rPr>
      </w:pPr>
    </w:p>
    <w:p w:rsidR="005616BB" w:rsidRDefault="00F96949">
      <w:pPr>
        <w:numPr>
          <w:ilvl w:val="0"/>
          <w:numId w:val="1"/>
        </w:numPr>
        <w:spacing w:line="276" w:lineRule="auto"/>
        <w:jc w:val="both"/>
      </w:pPr>
      <w:r>
        <w:rPr>
          <w:rFonts w:ascii="Arial" w:eastAsia="Arial" w:hAnsi="Arial" w:cs="Arial"/>
        </w:rPr>
        <w:t>Unidades que cumplan con las características solicitadas.</w:t>
      </w:r>
    </w:p>
    <w:p w:rsidR="005616BB" w:rsidRDefault="00F96949">
      <w:pPr>
        <w:numPr>
          <w:ilvl w:val="0"/>
          <w:numId w:val="1"/>
        </w:numPr>
        <w:spacing w:line="276" w:lineRule="auto"/>
        <w:jc w:val="both"/>
      </w:pPr>
      <w:r>
        <w:rPr>
          <w:rFonts w:ascii="Arial" w:eastAsia="Arial" w:hAnsi="Arial" w:cs="Arial"/>
        </w:rPr>
        <w:t xml:space="preserve">Kilometraje ilimitado </w:t>
      </w:r>
    </w:p>
    <w:p w:rsidR="005616BB" w:rsidRDefault="00F96949">
      <w:pPr>
        <w:numPr>
          <w:ilvl w:val="0"/>
          <w:numId w:val="1"/>
        </w:numPr>
        <w:spacing w:line="276" w:lineRule="auto"/>
        <w:jc w:val="both"/>
      </w:pPr>
      <w:r>
        <w:rPr>
          <w:rFonts w:ascii="Arial" w:eastAsia="Arial" w:hAnsi="Arial" w:cs="Arial"/>
        </w:rPr>
        <w:t>Entrega de las unidades en sitio.</w:t>
      </w:r>
    </w:p>
    <w:p w:rsidR="005616BB" w:rsidRDefault="00F96949">
      <w:pPr>
        <w:numPr>
          <w:ilvl w:val="0"/>
          <w:numId w:val="1"/>
        </w:numPr>
        <w:spacing w:line="276" w:lineRule="auto"/>
        <w:jc w:val="both"/>
      </w:pPr>
      <w:r>
        <w:rPr>
          <w:rFonts w:ascii="Arial" w:eastAsia="Arial" w:hAnsi="Arial" w:cs="Arial"/>
        </w:rPr>
        <w:t>Seguro de cobertura amplia durante la vigencia del servicio de arrendamiento. En los casos de siniestros o robo, el pago de deducibles estará a cargo de la Convocante durante la vigencia del servicio de arrendamiento, siempre y cuando sea responsabilidad del usuario de la unidad.</w:t>
      </w:r>
    </w:p>
    <w:p w:rsidR="005616BB" w:rsidRDefault="00F96949">
      <w:pPr>
        <w:numPr>
          <w:ilvl w:val="0"/>
          <w:numId w:val="1"/>
        </w:numPr>
        <w:spacing w:line="276" w:lineRule="auto"/>
        <w:jc w:val="both"/>
      </w:pPr>
      <w:r>
        <w:rPr>
          <w:rFonts w:ascii="Arial" w:eastAsia="Arial" w:hAnsi="Arial" w:cs="Arial"/>
        </w:rPr>
        <w:t>Los vehículos deberán contar con equipo de GPS para un mejor control vehicular de rastreo, que el Licitante ganador deberá proporcionar la plataforma y capacitación.</w:t>
      </w:r>
    </w:p>
    <w:p w:rsidR="005616BB" w:rsidRDefault="00F96949">
      <w:pPr>
        <w:numPr>
          <w:ilvl w:val="0"/>
          <w:numId w:val="1"/>
        </w:numPr>
        <w:spacing w:line="276" w:lineRule="auto"/>
        <w:jc w:val="both"/>
      </w:pPr>
      <w:r>
        <w:rPr>
          <w:rFonts w:ascii="Arial" w:eastAsia="Arial" w:hAnsi="Arial" w:cs="Arial"/>
        </w:rPr>
        <w:t>Se deberá designar a un Ejecutivo de cuenta para la atención personal respecto del servicio de arrendamiento.</w:t>
      </w:r>
    </w:p>
    <w:p w:rsidR="00C84EE7" w:rsidRPr="00C84EE7" w:rsidRDefault="00F96949">
      <w:pPr>
        <w:numPr>
          <w:ilvl w:val="0"/>
          <w:numId w:val="1"/>
        </w:numPr>
        <w:spacing w:line="276" w:lineRule="auto"/>
        <w:jc w:val="both"/>
      </w:pPr>
      <w:r>
        <w:rPr>
          <w:rFonts w:ascii="Arial" w:eastAsia="Arial" w:hAnsi="Arial" w:cs="Arial"/>
        </w:rPr>
        <w:t>El mantenimiento preventivo conforme al carnet del fabricante. El Mantenimiento correctivo dentro del kilometraje proporcionado por el fabricante será por cuenta del Licitante ganador</w:t>
      </w:r>
      <w:r w:rsidR="00C84EE7">
        <w:rPr>
          <w:rFonts w:ascii="Arial" w:eastAsia="Arial" w:hAnsi="Arial" w:cs="Arial"/>
        </w:rPr>
        <w:t>. Para unidades usadas: escrito bajo protesta de decir verdad que el licitante se compromete a realizar los mantenimientos preventivos y correctivos de las unidades.</w:t>
      </w:r>
      <w:r>
        <w:rPr>
          <w:rFonts w:ascii="Arial" w:eastAsia="Arial" w:hAnsi="Arial" w:cs="Arial"/>
        </w:rPr>
        <w:t xml:space="preserve"> </w:t>
      </w:r>
      <w:r w:rsidR="00C84EE7">
        <w:rPr>
          <w:rFonts w:ascii="Arial" w:eastAsia="Arial" w:hAnsi="Arial" w:cs="Arial"/>
        </w:rPr>
        <w:t>L</w:t>
      </w:r>
      <w:r>
        <w:rPr>
          <w:rFonts w:ascii="Arial" w:eastAsia="Arial" w:hAnsi="Arial" w:cs="Arial"/>
        </w:rPr>
        <w:t xml:space="preserve">as reparaciones de cualquier daño por mal uso o negligencia del usuario del vehículo </w:t>
      </w:r>
      <w:r w:rsidR="00C02AF4">
        <w:rPr>
          <w:rFonts w:ascii="Arial" w:eastAsia="Arial" w:hAnsi="Arial" w:cs="Arial"/>
        </w:rPr>
        <w:t>estarán</w:t>
      </w:r>
      <w:r>
        <w:rPr>
          <w:rFonts w:ascii="Arial" w:eastAsia="Arial" w:hAnsi="Arial" w:cs="Arial"/>
        </w:rPr>
        <w:t xml:space="preserve"> a cargo de la Convocante durante la vigencia del servicio de arrendamiento.</w:t>
      </w:r>
      <w:r w:rsidR="00C84EE7">
        <w:rPr>
          <w:rFonts w:ascii="Arial" w:eastAsia="Arial" w:hAnsi="Arial" w:cs="Arial"/>
        </w:rPr>
        <w:t xml:space="preserve"> </w:t>
      </w:r>
    </w:p>
    <w:p w:rsidR="005616BB" w:rsidRDefault="00F96949" w:rsidP="00C84EE7">
      <w:pPr>
        <w:numPr>
          <w:ilvl w:val="0"/>
          <w:numId w:val="1"/>
        </w:numPr>
        <w:spacing w:line="276" w:lineRule="auto"/>
        <w:jc w:val="both"/>
      </w:pPr>
      <w:r w:rsidRPr="00C84EE7">
        <w:rPr>
          <w:rFonts w:ascii="Arial" w:eastAsia="Arial" w:hAnsi="Arial" w:cs="Arial"/>
        </w:rPr>
        <w:t>Deberá incluir Rotulación de las unidades, en los costados de la caja del Recolector, puertas, así como el número económico de la unidad. El diseño de rotulación se entregará al licitante ganador.</w:t>
      </w:r>
    </w:p>
    <w:p w:rsidR="00C84EE7" w:rsidRDefault="00C84EE7" w:rsidP="00CA4909">
      <w:pPr>
        <w:jc w:val="both"/>
        <w:rPr>
          <w:rFonts w:ascii="Arial" w:eastAsia="Arial" w:hAnsi="Arial" w:cs="Arial"/>
          <w:highlight w:val="yellow"/>
        </w:rPr>
      </w:pPr>
    </w:p>
    <w:p w:rsidR="005616BB" w:rsidRPr="00CA4909" w:rsidRDefault="00F96949">
      <w:pPr>
        <w:ind w:left="360"/>
        <w:jc w:val="both"/>
        <w:rPr>
          <w:rFonts w:ascii="Arial" w:eastAsia="Arial" w:hAnsi="Arial" w:cs="Arial"/>
        </w:rPr>
      </w:pPr>
      <w:r w:rsidRPr="00CA4909">
        <w:rPr>
          <w:rFonts w:ascii="Arial" w:eastAsia="Arial" w:hAnsi="Arial" w:cs="Arial"/>
        </w:rPr>
        <w:t xml:space="preserve">El licitante podrá ofertar vehículos nuevos o usados que cumplan con las características solicitadas por la convocante. </w:t>
      </w:r>
    </w:p>
    <w:p w:rsidR="005616BB" w:rsidRPr="00CA4909" w:rsidRDefault="00F96949" w:rsidP="00CA4909">
      <w:pPr>
        <w:jc w:val="both"/>
        <w:rPr>
          <w:rFonts w:ascii="Arial" w:eastAsia="Arial" w:hAnsi="Arial" w:cs="Arial"/>
        </w:rPr>
      </w:pPr>
      <w:r w:rsidRPr="00CA4909">
        <w:rPr>
          <w:rFonts w:ascii="Arial" w:eastAsia="Arial" w:hAnsi="Arial" w:cs="Arial"/>
        </w:rPr>
        <w:t xml:space="preserve">                    </w:t>
      </w:r>
    </w:p>
    <w:p w:rsidR="005616BB" w:rsidRPr="006B768D" w:rsidRDefault="00F96949" w:rsidP="006B768D">
      <w:pPr>
        <w:ind w:left="360"/>
        <w:jc w:val="both"/>
        <w:rPr>
          <w:rFonts w:ascii="Arial" w:eastAsia="Arial" w:hAnsi="Arial" w:cs="Arial"/>
        </w:rPr>
      </w:pPr>
      <w:r w:rsidRPr="00CA4909">
        <w:rPr>
          <w:rFonts w:ascii="Arial" w:eastAsia="Arial" w:hAnsi="Arial" w:cs="Arial"/>
        </w:rPr>
        <w:t>En caso de ofertar vehículos usados, los mismos deberán ser modelo 2018 en adelante, debiendo “El Licitante” acreditar la propiedad de "Los vehículos” y el modelo propuesto, mediante copia de las facturas correspondientes, mismas que serán verificadas por "El Ayuntamiento" en cuanto a su autenticidad en la página del SAT.</w:t>
      </w:r>
    </w:p>
    <w:sectPr w:rsidR="005616BB" w:rsidRPr="006B768D">
      <w:headerReference w:type="default" r:id="rId7"/>
      <w:footerReference w:type="default" r:id="rId8"/>
      <w:pgSz w:w="12242" w:h="15842"/>
      <w:pgMar w:top="1418" w:right="1469" w:bottom="1418"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05BC" w:rsidRDefault="009705BC">
      <w:r>
        <w:separator/>
      </w:r>
    </w:p>
  </w:endnote>
  <w:endnote w:type="continuationSeparator" w:id="0">
    <w:p w:rsidR="009705BC" w:rsidRDefault="00970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vantGarde">
    <w:altName w:val="Century Gothic"/>
    <w:charset w:val="00"/>
    <w:family w:val="auto"/>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16BB" w:rsidRDefault="00F96949">
    <w:pPr>
      <w:pBdr>
        <w:top w:val="nil"/>
        <w:left w:val="nil"/>
        <w:bottom w:val="nil"/>
        <w:right w:val="nil"/>
        <w:between w:val="nil"/>
      </w:pBdr>
      <w:tabs>
        <w:tab w:val="center" w:pos="4419"/>
        <w:tab w:val="right" w:pos="8838"/>
      </w:tabs>
      <w:jc w:val="right"/>
      <w:rPr>
        <w:color w:val="000000"/>
      </w:rPr>
    </w:pPr>
    <w:r>
      <w:rPr>
        <w:color w:val="000000"/>
      </w:rPr>
      <w:fldChar w:fldCharType="begin"/>
    </w:r>
    <w:r>
      <w:rPr>
        <w:color w:val="000000"/>
      </w:rPr>
      <w:instrText>PAGE</w:instrText>
    </w:r>
    <w:r>
      <w:rPr>
        <w:color w:val="000000"/>
      </w:rPr>
      <w:fldChar w:fldCharType="separate"/>
    </w:r>
    <w:r w:rsidR="00C51BC1">
      <w:rPr>
        <w:noProof/>
        <w:color w:val="000000"/>
      </w:rPr>
      <w:t>1</w:t>
    </w:r>
    <w:r>
      <w:rPr>
        <w:color w:val="000000"/>
      </w:rPr>
      <w:fldChar w:fldCharType="end"/>
    </w:r>
  </w:p>
  <w:p w:rsidR="005616BB" w:rsidRDefault="005616BB">
    <w:pPr>
      <w:pBdr>
        <w:top w:val="nil"/>
        <w:left w:val="nil"/>
        <w:bottom w:val="nil"/>
        <w:right w:val="nil"/>
        <w:between w:val="nil"/>
      </w:pBdr>
      <w:tabs>
        <w:tab w:val="center" w:pos="4419"/>
        <w:tab w:val="right" w:pos="8838"/>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05BC" w:rsidRDefault="009705BC">
      <w:r>
        <w:separator/>
      </w:r>
    </w:p>
  </w:footnote>
  <w:footnote w:type="continuationSeparator" w:id="0">
    <w:p w:rsidR="009705BC" w:rsidRDefault="00970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68D" w:rsidRPr="005A3851" w:rsidRDefault="006B768D" w:rsidP="006B768D">
    <w:pPr>
      <w:pStyle w:val="1"/>
      <w:ind w:left="-284" w:right="-286"/>
      <w:jc w:val="center"/>
      <w:rPr>
        <w:rFonts w:ascii="Arial" w:hAnsi="Arial" w:cs="Arial"/>
        <w:i/>
        <w:sz w:val="36"/>
        <w:szCs w:val="36"/>
      </w:rPr>
    </w:pPr>
    <w:r>
      <w:rPr>
        <w:rFonts w:ascii="Arial" w:hAnsi="Arial" w:cs="Arial"/>
        <w:i/>
        <w:sz w:val="36"/>
        <w:szCs w:val="36"/>
      </w:rPr>
      <w:t xml:space="preserve">XXIII </w:t>
    </w:r>
    <w:r w:rsidRPr="005A3851">
      <w:rPr>
        <w:rFonts w:ascii="Arial" w:hAnsi="Arial" w:cs="Arial"/>
        <w:i/>
        <w:sz w:val="36"/>
        <w:szCs w:val="36"/>
      </w:rPr>
      <w:t>Ayuntamiento de Mexicali</w:t>
    </w:r>
    <w:r>
      <w:rPr>
        <w:rFonts w:ascii="Arial" w:hAnsi="Arial" w:cs="Arial"/>
        <w:i/>
        <w:sz w:val="36"/>
        <w:szCs w:val="36"/>
      </w:rPr>
      <w:t>,</w:t>
    </w:r>
    <w:r w:rsidRPr="005A3851">
      <w:rPr>
        <w:rFonts w:ascii="Arial" w:hAnsi="Arial" w:cs="Arial"/>
        <w:i/>
        <w:sz w:val="36"/>
        <w:szCs w:val="36"/>
      </w:rPr>
      <w:t xml:space="preserve"> Baja California</w:t>
    </w:r>
  </w:p>
  <w:p w:rsidR="006B768D" w:rsidRDefault="006B768D" w:rsidP="006B768D">
    <w:pPr>
      <w:pStyle w:val="Encabezado"/>
      <w:jc w:val="center"/>
      <w:rPr>
        <w:rFonts w:ascii="Arial" w:hAnsi="Arial" w:cs="Arial"/>
        <w:b/>
        <w:sz w:val="24"/>
      </w:rPr>
    </w:pPr>
    <w:r w:rsidRPr="00713817">
      <w:rPr>
        <w:rFonts w:ascii="Arial" w:hAnsi="Arial" w:cs="Arial"/>
        <w:b/>
        <w:sz w:val="24"/>
      </w:rPr>
      <w:t xml:space="preserve">Licitación Pública Nacional </w:t>
    </w:r>
    <w:r>
      <w:rPr>
        <w:rFonts w:ascii="Arial" w:hAnsi="Arial" w:cs="Arial"/>
        <w:b/>
        <w:sz w:val="24"/>
      </w:rPr>
      <w:t xml:space="preserve">                                                                                              No. AYTOMXL-OM-ADQ-03-20</w:t>
    </w:r>
  </w:p>
  <w:p w:rsidR="006B768D" w:rsidRPr="00713817" w:rsidRDefault="006B768D" w:rsidP="006B768D">
    <w:pPr>
      <w:pStyle w:val="Encabezado"/>
      <w:jc w:val="center"/>
      <w:rPr>
        <w:rFonts w:ascii="Arial" w:hAnsi="Arial" w:cs="Arial"/>
        <w:b/>
        <w:sz w:val="24"/>
      </w:rPr>
    </w:pPr>
  </w:p>
  <w:p w:rsidR="006B768D" w:rsidRPr="00713817" w:rsidRDefault="006B768D" w:rsidP="006B768D">
    <w:pPr>
      <w:pStyle w:val="Encabezado"/>
      <w:jc w:val="center"/>
      <w:rPr>
        <w:rFonts w:ascii="Arial" w:hAnsi="Arial" w:cs="Arial"/>
        <w:b/>
        <w:sz w:val="24"/>
      </w:rPr>
    </w:pPr>
    <w:r w:rsidRPr="00713817">
      <w:rPr>
        <w:rFonts w:ascii="Arial" w:hAnsi="Arial" w:cs="Arial"/>
        <w:b/>
        <w:sz w:val="24"/>
      </w:rPr>
      <w:t>Arrendamiento Puro de Camiones Recolectores de Residuos Sólidos Urbanos para el Ayuntamiento de Mexicali, Baja California</w:t>
    </w:r>
  </w:p>
  <w:p w:rsidR="005616BB" w:rsidRDefault="005616BB">
    <w:pPr>
      <w:pBdr>
        <w:top w:val="nil"/>
        <w:left w:val="nil"/>
        <w:bottom w:val="nil"/>
        <w:right w:val="nil"/>
        <w:between w:val="nil"/>
      </w:pBdr>
      <w:tabs>
        <w:tab w:val="center" w:pos="4252"/>
        <w:tab w:val="right" w:pos="8504"/>
      </w:tabs>
      <w:rPr>
        <w:color w:val="000000"/>
      </w:rPr>
    </w:pPr>
  </w:p>
  <w:p w:rsidR="005616BB" w:rsidRDefault="005616BB">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F738F2"/>
    <w:multiLevelType w:val="multilevel"/>
    <w:tmpl w:val="CBC6E5F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6BB"/>
    <w:rsid w:val="00265D57"/>
    <w:rsid w:val="002C5A50"/>
    <w:rsid w:val="002E728D"/>
    <w:rsid w:val="005616BB"/>
    <w:rsid w:val="00584F7F"/>
    <w:rsid w:val="006B768D"/>
    <w:rsid w:val="007F73B1"/>
    <w:rsid w:val="009378FF"/>
    <w:rsid w:val="009705BC"/>
    <w:rsid w:val="009D2F94"/>
    <w:rsid w:val="00A164FA"/>
    <w:rsid w:val="00C02AF4"/>
    <w:rsid w:val="00C51BC1"/>
    <w:rsid w:val="00C84EE7"/>
    <w:rsid w:val="00CA4909"/>
    <w:rsid w:val="00CC1778"/>
    <w:rsid w:val="00DA1D32"/>
    <w:rsid w:val="00F9694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EDC55D-6BED-42CA-8CAC-5B218D5C9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paragraph" w:styleId="Encabezado">
    <w:name w:val="header"/>
    <w:basedOn w:val="Normal"/>
    <w:link w:val="EncabezadoCar"/>
    <w:unhideWhenUsed/>
    <w:rsid w:val="007F73B1"/>
    <w:pPr>
      <w:tabs>
        <w:tab w:val="center" w:pos="4419"/>
        <w:tab w:val="right" w:pos="8838"/>
      </w:tabs>
    </w:pPr>
  </w:style>
  <w:style w:type="character" w:customStyle="1" w:styleId="EncabezadoCar">
    <w:name w:val="Encabezado Car"/>
    <w:basedOn w:val="Fuentedeprrafopredeter"/>
    <w:link w:val="Encabezado"/>
    <w:rsid w:val="007F73B1"/>
  </w:style>
  <w:style w:type="paragraph" w:styleId="Piedepgina">
    <w:name w:val="footer"/>
    <w:basedOn w:val="Normal"/>
    <w:link w:val="PiedepginaCar"/>
    <w:uiPriority w:val="99"/>
    <w:unhideWhenUsed/>
    <w:rsid w:val="007F73B1"/>
    <w:pPr>
      <w:tabs>
        <w:tab w:val="center" w:pos="4419"/>
        <w:tab w:val="right" w:pos="8838"/>
      </w:tabs>
    </w:pPr>
  </w:style>
  <w:style w:type="character" w:customStyle="1" w:styleId="PiedepginaCar">
    <w:name w:val="Pie de página Car"/>
    <w:basedOn w:val="Fuentedeprrafopredeter"/>
    <w:link w:val="Piedepgina"/>
    <w:uiPriority w:val="99"/>
    <w:rsid w:val="007F73B1"/>
  </w:style>
  <w:style w:type="paragraph" w:customStyle="1" w:styleId="1">
    <w:name w:val="1"/>
    <w:basedOn w:val="Normal"/>
    <w:rsid w:val="006B768D"/>
    <w:rPr>
      <w:rFonts w:ascii="AvantGarde" w:hAnsi="AvantGarde"/>
      <w:b/>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674</Words>
  <Characters>3708</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Iliana Elisa Ramos Barajas</dc:creator>
  <cp:lastModifiedBy>Iliana Elisa Ramos Barajas</cp:lastModifiedBy>
  <cp:revision>7</cp:revision>
  <cp:lastPrinted>2020-01-21T20:42:00Z</cp:lastPrinted>
  <dcterms:created xsi:type="dcterms:W3CDTF">2020-01-28T22:30:00Z</dcterms:created>
  <dcterms:modified xsi:type="dcterms:W3CDTF">2020-02-11T17:43:00Z</dcterms:modified>
</cp:coreProperties>
</file>